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FF1E" w14:textId="032B7318" w:rsidR="004C2006" w:rsidRPr="004C2006" w:rsidRDefault="004C2006" w:rsidP="00FB0692">
      <w:pPr>
        <w:pStyle w:val="NoSpacing"/>
        <w:rPr>
          <w:b/>
        </w:rPr>
      </w:pPr>
      <w:r>
        <w:rPr>
          <w:b/>
        </w:rPr>
        <w:t>The Trident Workforce Development Area requested a waiver from the South Carolina Department of Employment and Workforce (SCDEW)</w:t>
      </w:r>
      <w:r w:rsidR="004D76D7">
        <w:rPr>
          <w:b/>
        </w:rPr>
        <w:t>.  The request was to waive the</w:t>
      </w:r>
      <w:r>
        <w:rPr>
          <w:b/>
        </w:rPr>
        <w:t xml:space="preserve"> State Instruction Letter </w:t>
      </w:r>
      <w:r w:rsidR="004D76D7">
        <w:rPr>
          <w:b/>
        </w:rPr>
        <w:t>20</w:t>
      </w:r>
      <w:r>
        <w:rPr>
          <w:b/>
        </w:rPr>
        <w:t>-</w:t>
      </w:r>
      <w:r w:rsidR="004D76D7">
        <w:rPr>
          <w:b/>
        </w:rPr>
        <w:t>08</w:t>
      </w:r>
      <w:r>
        <w:rPr>
          <w:b/>
        </w:rPr>
        <w:t xml:space="preserve">, which states that training providers are not </w:t>
      </w:r>
      <w:r w:rsidR="004D76D7">
        <w:rPr>
          <w:b/>
        </w:rPr>
        <w:t>eligible</w:t>
      </w:r>
      <w:r>
        <w:rPr>
          <w:b/>
        </w:rPr>
        <w:t xml:space="preserve"> to receive Incumbent Worker Training (IWT) funds. </w:t>
      </w:r>
      <w:r w:rsidR="004D76D7">
        <w:rPr>
          <w:b/>
        </w:rPr>
        <w:t xml:space="preserve"> The waiver was granted to the</w:t>
      </w:r>
      <w:r>
        <w:rPr>
          <w:b/>
        </w:rPr>
        <w:t xml:space="preserve"> Trident Workforce Development </w:t>
      </w:r>
      <w:r w:rsidR="004D76D7">
        <w:rPr>
          <w:b/>
        </w:rPr>
        <w:t xml:space="preserve">Area to allow a training provider to receive IWT funds. The full information can be found on page 52 of the local plan.  </w:t>
      </w:r>
      <w:r>
        <w:rPr>
          <w:b/>
        </w:rPr>
        <w:t xml:space="preserve">  See page 52 of the local plan for full information. </w:t>
      </w:r>
      <w:r w:rsidR="004D76D7">
        <w:rPr>
          <w:b/>
        </w:rPr>
        <w:t>According to</w:t>
      </w:r>
      <w:r>
        <w:rPr>
          <w:b/>
        </w:rPr>
        <w:t xml:space="preserve"> the State’s Instruction Letter 21-09, </w:t>
      </w:r>
      <w:r w:rsidR="004D76D7">
        <w:rPr>
          <w:b/>
        </w:rPr>
        <w:t>this requires</w:t>
      </w:r>
      <w:r>
        <w:rPr>
          <w:b/>
        </w:rPr>
        <w:t xml:space="preserve"> a modification to the local plan. </w:t>
      </w:r>
    </w:p>
    <w:p w14:paraId="6EA2FEBB" w14:textId="77777777" w:rsidR="004C2006" w:rsidRDefault="004C2006" w:rsidP="00FB0692">
      <w:pPr>
        <w:pStyle w:val="NoSpacing"/>
        <w:rPr>
          <w:b/>
          <w:sz w:val="28"/>
          <w:szCs w:val="28"/>
        </w:rPr>
      </w:pPr>
    </w:p>
    <w:p w14:paraId="656D16F7" w14:textId="6236E2AD" w:rsidR="00FB0692" w:rsidRPr="00FB0692" w:rsidRDefault="00173580" w:rsidP="00FB069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Local</w:t>
      </w:r>
      <w:r w:rsidR="00FB0692" w:rsidRPr="00FB0692">
        <w:rPr>
          <w:b/>
          <w:sz w:val="28"/>
          <w:szCs w:val="28"/>
        </w:rPr>
        <w:t xml:space="preserve"> Plan Comments</w:t>
      </w:r>
      <w:r w:rsidR="00FB0692" w:rsidRPr="00FB0692">
        <w:rPr>
          <w:sz w:val="28"/>
          <w:szCs w:val="28"/>
        </w:rPr>
        <w:t>:</w:t>
      </w:r>
    </w:p>
    <w:p w14:paraId="2516F1C0" w14:textId="77777777" w:rsidR="00FB0692" w:rsidRPr="00FB0692" w:rsidRDefault="00FB0692" w:rsidP="00FB069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0692" w:rsidRPr="00FB0692" w14:paraId="023A2C26" w14:textId="77777777" w:rsidTr="00FB0692">
        <w:tc>
          <w:tcPr>
            <w:tcW w:w="9350" w:type="dxa"/>
            <w:shd w:val="clear" w:color="auto" w:fill="D9D9D9" w:themeFill="background1" w:themeFillShade="D9"/>
          </w:tcPr>
          <w:p w14:paraId="7C451B6D" w14:textId="77777777" w:rsidR="00FB0692" w:rsidRPr="00FB0692" w:rsidRDefault="00FB0692" w:rsidP="00FB0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Comment 1</w:t>
            </w:r>
          </w:p>
        </w:tc>
      </w:tr>
      <w:tr w:rsidR="00FB0692" w:rsidRPr="00FB0692" w14:paraId="7084505B" w14:textId="77777777" w:rsidTr="00FB0692">
        <w:tc>
          <w:tcPr>
            <w:tcW w:w="9350" w:type="dxa"/>
          </w:tcPr>
          <w:p w14:paraId="0CBC518D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Originating Entity:</w:t>
            </w:r>
          </w:p>
          <w:p w14:paraId="2F9133FD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sz w:val="24"/>
                <w:szCs w:val="24"/>
              </w:rPr>
              <w:t xml:space="preserve"> </w:t>
            </w:r>
          </w:p>
        </w:tc>
      </w:tr>
      <w:tr w:rsidR="00FB0692" w:rsidRPr="00FB0692" w14:paraId="442AB2DA" w14:textId="77777777" w:rsidTr="00FB0692">
        <w:tc>
          <w:tcPr>
            <w:tcW w:w="9350" w:type="dxa"/>
          </w:tcPr>
          <w:p w14:paraId="1F0BB3C0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Comment:</w:t>
            </w:r>
            <w:r w:rsidRPr="00FB0692">
              <w:rPr>
                <w:sz w:val="24"/>
                <w:szCs w:val="24"/>
              </w:rPr>
              <w:t xml:space="preserve"> </w:t>
            </w:r>
          </w:p>
          <w:p w14:paraId="1EFB9236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3424E3B4" w14:textId="77777777" w:rsid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0640522D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6C9D3D65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67493C9B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7FA6FC51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</w:tc>
      </w:tr>
      <w:tr w:rsidR="00FB0692" w:rsidRPr="00FB0692" w14:paraId="12FAD854" w14:textId="77777777" w:rsidTr="00FB0692">
        <w:tc>
          <w:tcPr>
            <w:tcW w:w="9350" w:type="dxa"/>
            <w:shd w:val="clear" w:color="auto" w:fill="D9D9D9" w:themeFill="background1" w:themeFillShade="D9"/>
          </w:tcPr>
          <w:p w14:paraId="351C1FC0" w14:textId="77777777" w:rsidR="00FB0692" w:rsidRPr="00FB0692" w:rsidRDefault="00FB0692" w:rsidP="00FB0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 2</w:t>
            </w:r>
          </w:p>
        </w:tc>
      </w:tr>
      <w:tr w:rsidR="00FB0692" w:rsidRPr="00FB0692" w14:paraId="48B7B4C5" w14:textId="77777777" w:rsidTr="00FB0692">
        <w:tc>
          <w:tcPr>
            <w:tcW w:w="9350" w:type="dxa"/>
          </w:tcPr>
          <w:p w14:paraId="3C49BE3F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Originating Entity:</w:t>
            </w:r>
          </w:p>
          <w:p w14:paraId="74144569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sz w:val="24"/>
                <w:szCs w:val="24"/>
              </w:rPr>
              <w:t xml:space="preserve"> </w:t>
            </w:r>
          </w:p>
        </w:tc>
      </w:tr>
      <w:tr w:rsidR="00FB0692" w:rsidRPr="00FB0692" w14:paraId="7DE040A1" w14:textId="77777777" w:rsidTr="00FB0692">
        <w:tc>
          <w:tcPr>
            <w:tcW w:w="9350" w:type="dxa"/>
          </w:tcPr>
          <w:p w14:paraId="4A9ECB7F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Comment:</w:t>
            </w:r>
            <w:r w:rsidRPr="00FB0692">
              <w:rPr>
                <w:sz w:val="24"/>
                <w:szCs w:val="24"/>
              </w:rPr>
              <w:t xml:space="preserve"> </w:t>
            </w:r>
          </w:p>
          <w:p w14:paraId="48F1B07C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7B0C6DB8" w14:textId="77777777" w:rsid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26DA2288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196B8A75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4DAB762E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45E1AE15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</w:tc>
      </w:tr>
      <w:tr w:rsidR="00FB0692" w:rsidRPr="00FB0692" w14:paraId="1DDBC1E1" w14:textId="77777777" w:rsidTr="00FB0692">
        <w:tc>
          <w:tcPr>
            <w:tcW w:w="9350" w:type="dxa"/>
            <w:shd w:val="clear" w:color="auto" w:fill="D9D9D9" w:themeFill="background1" w:themeFillShade="D9"/>
          </w:tcPr>
          <w:p w14:paraId="1F1C5B00" w14:textId="77777777" w:rsidR="00FB0692" w:rsidRPr="00FB0692" w:rsidRDefault="00FB0692" w:rsidP="00FB0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 3</w:t>
            </w:r>
          </w:p>
        </w:tc>
      </w:tr>
      <w:tr w:rsidR="00FB0692" w:rsidRPr="00FB0692" w14:paraId="0392D65D" w14:textId="77777777" w:rsidTr="00FB0692">
        <w:tc>
          <w:tcPr>
            <w:tcW w:w="9350" w:type="dxa"/>
          </w:tcPr>
          <w:p w14:paraId="12A99508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Originating Entity:</w:t>
            </w:r>
          </w:p>
          <w:p w14:paraId="0EC7018A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sz w:val="24"/>
                <w:szCs w:val="24"/>
              </w:rPr>
              <w:t xml:space="preserve"> </w:t>
            </w:r>
          </w:p>
        </w:tc>
      </w:tr>
      <w:tr w:rsidR="00FB0692" w:rsidRPr="00FB0692" w14:paraId="516CD285" w14:textId="77777777" w:rsidTr="00FB0692">
        <w:tc>
          <w:tcPr>
            <w:tcW w:w="9350" w:type="dxa"/>
          </w:tcPr>
          <w:p w14:paraId="33366F59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Comment:</w:t>
            </w:r>
            <w:r w:rsidRPr="00FB0692">
              <w:rPr>
                <w:sz w:val="24"/>
                <w:szCs w:val="24"/>
              </w:rPr>
              <w:t xml:space="preserve"> </w:t>
            </w:r>
          </w:p>
          <w:p w14:paraId="4A5A80B3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0D0824ED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0C7D6008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40D9D4C5" w14:textId="77777777" w:rsid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7FC45670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2A3514D4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</w:tc>
      </w:tr>
      <w:tr w:rsidR="00FB0692" w:rsidRPr="00FB0692" w14:paraId="483D2DA9" w14:textId="77777777" w:rsidTr="00FB0692">
        <w:tc>
          <w:tcPr>
            <w:tcW w:w="9350" w:type="dxa"/>
            <w:shd w:val="clear" w:color="auto" w:fill="D9D9D9" w:themeFill="background1" w:themeFillShade="D9"/>
          </w:tcPr>
          <w:p w14:paraId="56D5196C" w14:textId="77777777" w:rsidR="00FB0692" w:rsidRPr="00FB0692" w:rsidRDefault="00FB0692" w:rsidP="00FB06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 4</w:t>
            </w:r>
          </w:p>
        </w:tc>
      </w:tr>
      <w:tr w:rsidR="00FB0692" w:rsidRPr="00FB0692" w14:paraId="5A87D438" w14:textId="77777777" w:rsidTr="00FB0692">
        <w:tc>
          <w:tcPr>
            <w:tcW w:w="9350" w:type="dxa"/>
          </w:tcPr>
          <w:p w14:paraId="6E0D75AC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Originating Entity:</w:t>
            </w:r>
          </w:p>
          <w:p w14:paraId="15683A0D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sz w:val="24"/>
                <w:szCs w:val="24"/>
              </w:rPr>
              <w:t xml:space="preserve"> </w:t>
            </w:r>
          </w:p>
        </w:tc>
      </w:tr>
      <w:tr w:rsidR="00FB0692" w:rsidRPr="00FB0692" w14:paraId="2F435D0A" w14:textId="77777777" w:rsidTr="00FB0692">
        <w:tc>
          <w:tcPr>
            <w:tcW w:w="9350" w:type="dxa"/>
          </w:tcPr>
          <w:p w14:paraId="27E55DD5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  <w:r w:rsidRPr="00FB0692">
              <w:rPr>
                <w:b/>
                <w:sz w:val="24"/>
                <w:szCs w:val="24"/>
              </w:rPr>
              <w:t>Comment:</w:t>
            </w:r>
            <w:r w:rsidRPr="00FB0692">
              <w:rPr>
                <w:sz w:val="24"/>
                <w:szCs w:val="24"/>
              </w:rPr>
              <w:t xml:space="preserve"> </w:t>
            </w:r>
          </w:p>
          <w:p w14:paraId="254D8707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2A41D86F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3B18D957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4356AF3A" w14:textId="77777777" w:rsid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6F8D2EFE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  <w:p w14:paraId="1650A7D5" w14:textId="77777777" w:rsidR="00FB0692" w:rsidRPr="00FB0692" w:rsidRDefault="00FB0692" w:rsidP="00FB069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655071F" w14:textId="77777777" w:rsidR="00FB0692" w:rsidRPr="00FB0692" w:rsidRDefault="00FB0692" w:rsidP="00FB0692">
      <w:pPr>
        <w:pStyle w:val="NoSpacing"/>
        <w:rPr>
          <w:sz w:val="24"/>
          <w:szCs w:val="24"/>
        </w:rPr>
      </w:pPr>
    </w:p>
    <w:sectPr w:rsidR="00FB0692" w:rsidRPr="00FB069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BDB0" w14:textId="77777777" w:rsidR="00FB0692" w:rsidRDefault="00FB0692" w:rsidP="00FB0692">
      <w:pPr>
        <w:spacing w:after="0" w:line="240" w:lineRule="auto"/>
      </w:pPr>
      <w:r>
        <w:separator/>
      </w:r>
    </w:p>
  </w:endnote>
  <w:endnote w:type="continuationSeparator" w:id="0">
    <w:p w14:paraId="6548E650" w14:textId="77777777" w:rsidR="00FB0692" w:rsidRDefault="00FB0692" w:rsidP="00FB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335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220D4" w14:textId="77777777" w:rsidR="00101C4E" w:rsidRDefault="00101C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325C3B" w14:textId="77777777" w:rsidR="00101C4E" w:rsidRDefault="0010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F8C9" w14:textId="77777777" w:rsidR="00FB0692" w:rsidRDefault="00FB0692" w:rsidP="00FB0692">
      <w:pPr>
        <w:spacing w:after="0" w:line="240" w:lineRule="auto"/>
      </w:pPr>
      <w:r>
        <w:separator/>
      </w:r>
    </w:p>
  </w:footnote>
  <w:footnote w:type="continuationSeparator" w:id="0">
    <w:p w14:paraId="3D0110CD" w14:textId="77777777" w:rsidR="00FB0692" w:rsidRDefault="00FB0692" w:rsidP="00FB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21F8" w14:textId="77777777" w:rsidR="00FB0692" w:rsidRPr="00FB0692" w:rsidRDefault="00173580" w:rsidP="00FB0692">
    <w:pPr>
      <w:pStyle w:val="Header"/>
      <w:jc w:val="right"/>
      <w:rPr>
        <w:b/>
      </w:rPr>
    </w:pPr>
    <w:r>
      <w:rPr>
        <w:b/>
      </w:rPr>
      <w:t>Attachment B-5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92"/>
    <w:rsid w:val="00012469"/>
    <w:rsid w:val="00101C4E"/>
    <w:rsid w:val="00173580"/>
    <w:rsid w:val="00420585"/>
    <w:rsid w:val="004A1AAF"/>
    <w:rsid w:val="004C2006"/>
    <w:rsid w:val="004D76D7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D8522"/>
  <w15:chartTrackingRefBased/>
  <w15:docId w15:val="{200E0E0C-3119-4C17-AE86-074821E5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692"/>
    <w:pPr>
      <w:spacing w:after="0" w:line="240" w:lineRule="auto"/>
    </w:pPr>
  </w:style>
  <w:style w:type="table" w:styleId="TableGrid">
    <w:name w:val="Table Grid"/>
    <w:basedOn w:val="TableNormal"/>
    <w:uiPriority w:val="39"/>
    <w:rsid w:val="00FB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92"/>
  </w:style>
  <w:style w:type="paragraph" w:styleId="Footer">
    <w:name w:val="footer"/>
    <w:basedOn w:val="Normal"/>
    <w:link w:val="FooterChar"/>
    <w:uiPriority w:val="99"/>
    <w:unhideWhenUsed/>
    <w:rsid w:val="00FB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737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 of Employment and Workforce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Sheleena</dc:creator>
  <cp:keywords/>
  <dc:description/>
  <cp:lastModifiedBy>Sharon Goss</cp:lastModifiedBy>
  <cp:revision>2</cp:revision>
  <dcterms:created xsi:type="dcterms:W3CDTF">2024-04-01T12:44:00Z</dcterms:created>
  <dcterms:modified xsi:type="dcterms:W3CDTF">2024-04-01T12:44:00Z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23efc25433eaaca5bfe5f57a8076fc2b668dd6c66f2fdeec718aa59b8b5935d5</vt:lpwstr>
  </property>
</Properties>
</file>